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74520" cy="745351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940435" cy="77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47.60pt;height:58.69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630"/>
        <w:jc w:val="center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Гарантийный талон №___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30"/>
        <w:jc w:val="center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4696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076"/>
        <w:gridCol w:w="4701"/>
      </w:tblGrid>
      <w:tr>
        <w:trPr/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Продавец: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ООО «</w:t>
            </w:r>
            <w:r>
              <w:rPr>
                <w:rFonts w:ascii="Times New Roman" w:hAnsi="Times New Roman"/>
                <w:b/>
              </w:rPr>
              <w:t xml:space="preserve">ПромЭксперт</w:t>
            </w:r>
            <w:r>
              <w:rPr>
                <w:rFonts w:ascii="Times New Roman" w:hAnsi="Times New Roman"/>
                <w:b/>
              </w:rPr>
              <w:t xml:space="preserve">»</w:t>
            </w:r>
            <w:r>
              <w:rPr>
                <w:rFonts w:ascii="Times New Roman" w:hAnsi="Times New Roman"/>
                <w:b/>
              </w:rPr>
            </w:r>
          </w:p>
        </w:tc>
      </w:tr>
      <w:tr>
        <w:trPr/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Покупатель</w:t>
            </w:r>
            <w:r>
              <w:rPr>
                <w:rFonts w:ascii="Times New Roman" w:hAnsi="Times New Roman"/>
                <w:lang w:val="en-US"/>
              </w:rPr>
              <w:t xml:space="preserve">:</w:t>
            </w:r>
            <w:r>
              <w:rPr>
                <w:rFonts w:ascii="Times New Roman" w:hAnsi="Times New Roman"/>
                <w:lang w:val="en-US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</w:rPr>
              <w:pBdr>
                <w:bottom w:val="single" w:color="000000" w:sz="12" w:space="1"/>
              </w:pBdr>
            </w:pP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</w:r>
            <w:r>
              <w:rPr>
                <w:rFonts w:ascii="Times New Roman" w:hAnsi="Times New Roman"/>
                <w:b/>
                <w:lang w:val="en-US"/>
              </w:rPr>
            </w:r>
          </w:p>
        </w:tc>
      </w:tr>
      <w:tr>
        <w:trPr/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r>
              <w:rPr>
                <w:rFonts w:ascii="Times New Roman" w:hAnsi="Times New Roman"/>
              </w:rPr>
              <w:t xml:space="preserve">товара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</w:rPr>
              <w:pBdr>
                <w:bottom w:val="single" w:color="000000" w:sz="12" w:space="1"/>
              </w:pBdr>
            </w:pP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rPr/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  <w:bCs/>
                <w:lang w:val="en-US"/>
              </w:rPr>
              <w:pBdr>
                <w:bottom w:val="single" w:color="000000" w:sz="12" w:space="1"/>
              </w:pBdr>
            </w:pPr>
            <w:r>
              <w:rPr>
                <w:rFonts w:ascii="Times New Roman" w:hAnsi="Times New Roman"/>
                <w:b/>
                <w:bCs/>
                <w:lang w:val="en-US"/>
              </w:rPr>
              <w:t xml:space="preserve">VMA</w:t>
            </w:r>
            <w:r>
              <w:rPr>
                <w:rFonts w:ascii="Times New Roman" w:hAnsi="Times New Roman"/>
                <w:b/>
                <w:bCs/>
                <w:lang w:val="en-US"/>
              </w:rPr>
            </w:r>
          </w:p>
        </w:tc>
      </w:tr>
      <w:tr>
        <w:trPr/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Модель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  <w:bCs/>
              </w:rPr>
              <w:pBdr>
                <w:bottom w:val="single" w:color="000000" w:sz="12" w:space="1"/>
              </w:pBdr>
            </w:pP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Производитель: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  <w:lang w:val="en-US"/>
              </w:rPr>
              <w:pBdr>
                <w:bottom w:val="single" w:color="000000" w:sz="12" w:space="1"/>
              </w:pBdr>
            </w:pPr>
            <w:r>
              <w:rPr>
                <w:rFonts w:ascii="Times New Roman" w:hAnsi="Times New Roman"/>
                <w:b/>
                <w:lang w:val="en-US"/>
              </w:rPr>
            </w:r>
            <w:r>
              <w:rPr>
                <w:rFonts w:ascii="Times New Roman" w:hAnsi="Times New Roman"/>
                <w:b/>
                <w:lang w:val="en-US"/>
              </w:rPr>
            </w:r>
          </w:p>
        </w:tc>
      </w:tr>
      <w:tr>
        <w:trPr/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</w:r>
            <w:r>
              <w:rPr>
                <w:rFonts w:ascii="Times New Roman" w:hAnsi="Times New Roman"/>
                <w:b/>
                <w:lang w:val="en-US"/>
              </w:rPr>
            </w:r>
          </w:p>
        </w:tc>
      </w:tr>
      <w:tr>
        <w:trPr>
          <w:trHeight w:val="175"/>
        </w:trPr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Срок гарантийной поддержки: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rPr>
          <w:trHeight w:val="175"/>
        </w:trPr>
        <w:tc>
          <w:tcPr>
            <w:tcW w:w="2322" w:type="pct"/>
            <w:textDirection w:val="lrTb"/>
            <w:noWrap w:val="false"/>
          </w:tcPr>
          <w:p>
            <w:pPr>
              <w:pStyle w:val="631"/>
              <w:ind w:right="358"/>
              <w:jc w:val="right"/>
              <w:tabs>
                <w:tab w:val="left" w:pos="4395" w:leader="none"/>
                <w:tab w:val="clear" w:pos="4795" w:leader="none"/>
                <w:tab w:val="clear" w:pos="959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продажи: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678" w:type="pct"/>
            <w:textDirection w:val="lrTb"/>
            <w:noWrap w:val="false"/>
          </w:tcPr>
          <w:p>
            <w:pPr>
              <w:pStyle w:val="631"/>
              <w:tabs>
                <w:tab w:val="clear" w:pos="959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eastAsia="ar-SA"/>
        </w:rPr>
      </w:r>
      <w:r>
        <w:rPr>
          <w:rFonts w:ascii="Times New Roman" w:hAnsi="Times New Roman" w:cs="Times New Roman"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ПОСТАВЩИК обеспечивает следующие условия гарантии на поставленное промышленное оборудование: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Поставленн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ая машина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является продукцией произв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одственно-технического назначения, подлежащей обязательному техническому обслуживанию, может быть использована только по прямому назначению.  Покупатель обязан обеспечить техническое обслуживание машины обученным и квалифицированным техническим персоналом.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360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Срок г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аранти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качества функционирования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поставленной Покупателю машины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и на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неисправности машины, возникшие при его производстве или в результате скрытых дефектов деталей/частей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, устанавливается исходя из вида оборудования в соответствии с таблицей ниже: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tbl>
      <w:tblPr>
        <w:tblW w:w="0" w:type="auto"/>
        <w:tblCellSpacing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Расходные 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материалы(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не распространяется гарантия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Гарантия 1 год (при правильном использовании оборудования)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Гарантия 3 года (при правильном использовании оборудования)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Регуляторы натяжения нити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Подшипники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Станина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Нитенаправители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Сальники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Электроника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Иглодержатели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Шестеренки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Главный вал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Нитенатяжители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Насосы и маслопроводы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Иглы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Зубчатые приводные ремни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Лапки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Игловодители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Зубчатые рейки продвижения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Направляющие втулки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Игольные пластины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Петлители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Шпульки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Челночные устройства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Шпульные колпачки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Нитенаправители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ru-RU"/>
              </w:rPr>
              <w:t xml:space="preserve">Намотчик шпульки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shd w:val="clear" w:color="auto" w:fill="f7738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r>
          </w:p>
        </w:tc>
      </w:tr>
    </w:tbl>
    <w:p>
      <w:pPr>
        <w:jc w:val="both"/>
        <w:spacing w:after="0" w:line="240" w:lineRule="auto"/>
        <w:tabs>
          <w:tab w:val="left" w:pos="360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360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Гарантия замены неисправных деталей/частей и выполнения безвозмездных ремонтных работ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действует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 течение гарантийного срока, оговоренного в пункте 2.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360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Гарантия не включает в себя работы по наладке и техническому содержанию оборудования.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360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Гарантия не распространяется на дефекты, возникшие при нарушении Покупателем инструкции по эксплуатации машины, а также дефекты, вызванные стихийными бедствиями.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pStyle w:val="628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360" w:leader="none"/>
          <w:tab w:val="num" w:pos="426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Гарантийные обязательства не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распространяются на дефекты, произошедшие вследствие: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8"/>
        <w:ind w:left="0"/>
        <w:jc w:val="both"/>
        <w:spacing w:after="0" w:line="240" w:lineRule="auto"/>
        <w:tabs>
          <w:tab w:val="left" w:pos="360" w:leader="none"/>
          <w:tab w:val="num" w:pos="426" w:leader="none"/>
          <w:tab w:val="left" w:pos="567" w:leader="none"/>
        </w:tabs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- механических повреждений при транспортировке и эксплуатации машины, включая повреждения, вызванные вследствие несоответствия параметров питающих элементов электросетей, температуры и влажности в помещениях, где размещается машина,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неправильного подключения машины к электросети, а также эксплуатации машины без заземления;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360" w:leader="none"/>
          <w:tab w:val="num" w:pos="426" w:leader="none"/>
          <w:tab w:val="left" w:pos="567" w:leader="none"/>
        </w:tabs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- изменения напряжения или частоты электропитания в пределах, превышающих величины, установленные соответствующими стандартами;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360" w:leader="none"/>
          <w:tab w:val="num" w:pos="426" w:leader="none"/>
          <w:tab w:val="left" w:pos="993" w:leader="none"/>
          <w:tab w:val="left" w:pos="1276" w:leader="none"/>
        </w:tabs>
        <w:rPr>
          <w:rFonts w:ascii="Times New Roman" w:hAnsi="Times New Roman" w:eastAsia="Times New Roman" w:cs="Times New Roman"/>
          <w:sz w:val="24"/>
          <w:szCs w:val="24"/>
          <w:u w:val="single"/>
          <w:lang w:eastAsia="ar-SA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ar-SA"/>
        </w:rPr>
        <w:t xml:space="preserve">- повреждения системы ЧПУ, вызванного использованием неисправных, поврежденных или зараженных карт памяти;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360" w:leader="none"/>
          <w:tab w:val="num" w:pos="426" w:leader="none"/>
          <w:tab w:val="left" w:pos="567" w:leader="none"/>
        </w:tabs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- несогласованных с поставщиком самостоятельно произведенных Покупателем монтажных и пуско-наладочных работ по установке и запуску машины в эксплуатацию, ремонтных работ машины, ее деталей и частей, а также внесения в нее конструктивных изменений;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284" w:leader="none"/>
          <w:tab w:val="left" w:pos="360" w:leader="none"/>
          <w:tab w:val="num" w:pos="426" w:leader="none"/>
          <w:tab w:val="left" w:pos="567" w:leader="none"/>
        </w:tabs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- эксплуатации машины с нарушением настоящей Инструкции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 по эксплуатации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, норм и правил технической эксплуатации, обслуживания и/или использования Товара не по назначению;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284" w:leader="none"/>
          <w:tab w:val="left" w:pos="360" w:leader="none"/>
          <w:tab w:val="num" w:pos="426" w:leader="none"/>
          <w:tab w:val="left" w:pos="567" w:leader="none"/>
        </w:tabs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- использования неоригинальных запасных частей к машине и их естественного износа;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284" w:leader="none"/>
          <w:tab w:val="left" w:pos="360" w:leader="none"/>
          <w:tab w:val="num" w:pos="426" w:leader="none"/>
          <w:tab w:val="left" w:pos="567" w:leader="none"/>
        </w:tabs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- иных случаев, на которые не распространяется гарантия.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r>
    </w:p>
    <w:p>
      <w:pPr>
        <w:pStyle w:val="628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  <w:tab w:val="left" w:pos="426" w:leader="none"/>
          <w:tab w:val="left" w:pos="567" w:leader="none"/>
          <w:tab w:val="clear" w:pos="825" w:leader="none"/>
        </w:tabs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Гарантия также не распространяется на: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851" w:leader="none"/>
          <w:tab w:val="left" w:pos="993" w:leader="none"/>
          <w:tab w:val="left" w:pos="1276" w:leader="none"/>
        </w:tabs>
        <w:rPr>
          <w:rFonts w:ascii="Times New Roman" w:hAnsi="Times New Roman" w:eastAsia="Times New Roman" w:cs="Times New Roman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eastAsia="ar-SA"/>
        </w:rPr>
        <w:t xml:space="preserve">расходные материалы и быстроизнашиваемые части, такие как: фильтры, приводные ремни, предохранители, автоматы и т.п.; </w:t>
      </w:r>
      <w:r>
        <w:rPr>
          <w:rFonts w:ascii="Times New Roman" w:hAnsi="Times New Roman" w:eastAsia="Times New Roman" w:cs="Times New Roman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851" w:leader="none"/>
          <w:tab w:val="left" w:pos="993" w:leader="none"/>
          <w:tab w:val="left" w:pos="1276" w:leader="none"/>
        </w:tabs>
        <w:rPr>
          <w:rFonts w:ascii="Times New Roman" w:hAnsi="Times New Roman" w:eastAsia="Times New Roman" w:cs="Times New Roman"/>
          <w:sz w:val="24"/>
          <w:szCs w:val="24"/>
          <w:lang w:eastAsia="ar-SA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ar-SA"/>
        </w:rPr>
        <w:t xml:space="preserve">- части, вышедшие из строя вследствие их несвоевременного обслуживания или подвергающиеся вредному воздействию, а также </w:t>
      </w:r>
      <w:r>
        <w:rPr>
          <w:rFonts w:ascii="Times New Roman" w:hAnsi="Times New Roman" w:eastAsia="Times New Roman" w:cs="Times New Roman"/>
          <w:sz w:val="24"/>
          <w:szCs w:val="24"/>
          <w:lang w:eastAsia="ar-SA"/>
        </w:rPr>
        <w:t xml:space="preserve">электроизделия</w:t>
      </w:r>
      <w:r>
        <w:rPr>
          <w:rFonts w:ascii="Times New Roman" w:hAnsi="Times New Roman" w:eastAsia="Times New Roman" w:cs="Times New Roman"/>
          <w:sz w:val="24"/>
          <w:szCs w:val="24"/>
          <w:lang w:eastAsia="ar-SA"/>
        </w:rPr>
        <w:t xml:space="preserve">, имеющие признаки расплавления;</w:t>
      </w:r>
      <w:r>
        <w:rPr>
          <w:rFonts w:ascii="Times New Roman" w:hAnsi="Times New Roman" w:eastAsia="Times New Roman" w:cs="Times New Roman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851" w:leader="none"/>
          <w:tab w:val="left" w:pos="993" w:leader="none"/>
          <w:tab w:val="left" w:pos="1276" w:leader="none"/>
        </w:tabs>
        <w:rPr>
          <w:rFonts w:ascii="Times New Roman" w:hAnsi="Times New Roman" w:eastAsia="Times New Roman" w:cs="Times New Roman"/>
          <w:sz w:val="24"/>
          <w:szCs w:val="24"/>
          <w:lang w:eastAsia="ar-SA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ar-SA"/>
        </w:rPr>
        <w:t xml:space="preserve">- режущий и вспомогательный инструмент, оснастку, блоки приводного инструмента, адаптеры, карты памяти;</w:t>
      </w:r>
      <w:r>
        <w:rPr>
          <w:rFonts w:ascii="Times New Roman" w:hAnsi="Times New Roman" w:eastAsia="Times New Roman" w:cs="Times New Roman"/>
          <w:sz w:val="24"/>
          <w:szCs w:val="24"/>
          <w:lang w:eastAsia="ar-SA"/>
        </w:rPr>
      </w:r>
    </w:p>
    <w:p>
      <w:pPr>
        <w:pStyle w:val="628"/>
        <w:ind w:left="0"/>
        <w:jc w:val="both"/>
        <w:spacing w:after="0" w:line="240" w:lineRule="auto"/>
        <w:tabs>
          <w:tab w:val="left" w:pos="851" w:leader="none"/>
          <w:tab w:val="left" w:pos="993" w:leader="none"/>
          <w:tab w:val="left" w:pos="1276" w:leader="none"/>
        </w:tabs>
        <w:rPr>
          <w:rFonts w:ascii="Times New Roman" w:hAnsi="Times New Roman" w:eastAsia="Times New Roman" w:cs="Times New Roman"/>
          <w:sz w:val="24"/>
          <w:szCs w:val="24"/>
          <w:lang w:eastAsia="ar-SA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ar-SA"/>
        </w:rPr>
        <w:t xml:space="preserve">- на дефекты/недостат</w:t>
      </w:r>
      <w:bookmarkStart w:id="0" w:name="_GoBack"/>
      <w:r/>
      <w:bookmarkEnd w:id="0"/>
      <w:r>
        <w:rPr>
          <w:rFonts w:ascii="Times New Roman" w:hAnsi="Times New Roman" w:eastAsia="Times New Roman" w:cs="Times New Roman"/>
          <w:sz w:val="24"/>
          <w:szCs w:val="24"/>
          <w:lang w:eastAsia="ar-SA"/>
        </w:rPr>
        <w:t xml:space="preserve">ки, появившиеся вследствие стихийных бедствий, пожаров и т.д., нестабильных электрических сетей при отсутствии сертифицированного стабилизатора напряжения и контура заземления.</w:t>
      </w:r>
      <w:r>
        <w:rPr>
          <w:rFonts w:ascii="Times New Roman" w:hAnsi="Times New Roman" w:eastAsia="Times New Roman" w:cs="Times New Roman"/>
          <w:sz w:val="24"/>
          <w:szCs w:val="24"/>
          <w:lang w:eastAsia="ar-SA"/>
        </w:rPr>
      </w:r>
    </w:p>
    <w:p>
      <w:pPr>
        <w:pStyle w:val="622"/>
        <w:ind w:left="825"/>
        <w:spacing w:before="0" w:beforeAutospacing="0" w:after="0" w:afterAutospacing="0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  <w:u w:val="single"/>
        </w:rPr>
      </w:r>
      <w:r>
        <w:rPr>
          <w:b w:val="0"/>
          <w:sz w:val="24"/>
          <w:szCs w:val="24"/>
          <w:u w:val="single"/>
        </w:rPr>
      </w:r>
    </w:p>
    <w:tbl>
      <w:tblPr>
        <w:tblStyle w:val="62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471"/>
        <w:gridCol w:w="7884"/>
      </w:tblGrid>
      <w:tr>
        <w:trPr/>
        <w:tc>
          <w:tcPr>
            <w:tcW w:w="15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3390" cy="389890"/>
                      <wp:effectExtent l="19050" t="0" r="3810" b="0"/>
                      <wp:docPr id="2" name="Рисунок 1" descr="D:\2017-19_Исследование тк. трик. 14.03.2018\_2021_Инструкция маски\Внимание_сжатие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2017-19_Исследование тк. трик. 14.03.2018\_2021_Инструкция маски\Внимание_сжатие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3390" cy="389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5.70pt;height:30.70pt;mso-wrap-distance-left:0.00pt;mso-wrap-distance-top:0.00pt;mso-wrap-distance-right:0.00pt;mso-wrap-distance-bottom:0.00pt;" stroked="f" strokeweight="0.75pt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W w:w="8471" w:type="dxa"/>
            <w:textDirection w:val="lrTb"/>
            <w:noWrap w:val="false"/>
          </w:tcPr>
          <w:p>
            <w:pPr>
              <w:jc w:val="both"/>
              <w:tabs>
                <w:tab w:val="left" w:pos="851" w:leader="none"/>
                <w:tab w:val="left" w:pos="993" w:leader="none"/>
                <w:tab w:val="left" w:pos="1276" w:leader="none"/>
              </w:tabs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ВНИМАНИЕ! При наличии одного из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выше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перечисленных обстоятельств, обслуживание или ремонт признаются не гарантийными.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r>
          </w:p>
        </w:tc>
      </w:tr>
    </w:tbl>
    <w:p>
      <w:pPr>
        <w:pStyle w:val="628"/>
        <w:ind w:left="825"/>
        <w:jc w:val="both"/>
        <w:spacing w:after="0" w:line="240" w:lineRule="auto"/>
        <w:tabs>
          <w:tab w:val="left" w:pos="851" w:leader="none"/>
          <w:tab w:val="left" w:pos="993" w:leader="none"/>
          <w:tab w:val="left" w:pos="1276" w:leader="none"/>
        </w:tabs>
        <w:rPr>
          <w:rFonts w:ascii="Times New Roman" w:hAnsi="Times New Roman" w:eastAsia="Times New Roman" w:cs="Times New Roman"/>
          <w:sz w:val="24"/>
          <w:szCs w:val="24"/>
          <w:lang w:eastAsia="ar-SA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lang w:eastAsia="ar-SA"/>
        </w:rPr>
      </w:r>
    </w:p>
    <w:p>
      <w:pPr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360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Транспортировка неисправного оборудования для гарантийного ремонта осуществляется за счет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окупателя. Гарантийный ремонт производится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 сервисном центре поставщика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по адресу: г. Иваново, ул. Сосновая, 24.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360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Выявленные дефекты, подлежащие устранению в ходе гарантийного ремонта, а также сроки проведения гарантийного ремонта не являются основанием для выставления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окупателем финансовых претензий к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ставщику.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360" w:leader="none"/>
          <w:tab w:val="clear" w:pos="825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Срок проведения гарантийного ремонта (при наличии запасных частей) не может превыш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ать 10 рабочих дней при отсутствии каких-либо дополнительных договоренностей. При отсутствии запасных частей срок проведения ремонта продлевается, но не более чем на 30 рабочих дней.  Срок гарантии на замененные части не превышает срока гарантии на машину.</w:t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spacing w:after="0" w:line="240" w:lineRule="auto"/>
        <w:tabs>
          <w:tab w:val="left" w:pos="2410" w:leader="none"/>
        </w:tabs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</w:r>
      <w:r>
        <w:rPr>
          <w:rFonts w:ascii="Times New Roman" w:hAnsi="Times New Roman" w:cs="Times New Roman"/>
          <w:sz w:val="24"/>
          <w:szCs w:val="24"/>
          <w:lang w:eastAsia="ar-SA"/>
        </w:rPr>
      </w:r>
    </w:p>
    <w:p>
      <w:pPr>
        <w:spacing w:after="0" w:line="240" w:lineRule="auto"/>
        <w:tabs>
          <w:tab w:val="left" w:pos="2410" w:leader="none"/>
        </w:tabs>
        <w:rPr>
          <w:rFonts w:ascii="Times New Roman" w:hAnsi="Times New Roman" w:cs="Times New Roman"/>
          <w:b/>
          <w:sz w:val="20"/>
          <w:szCs w:val="20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  <w:lang w:eastAsia="ar-SA"/>
        </w:rPr>
      </w:r>
      <w:r>
        <w:rPr>
          <w:rFonts w:ascii="Times New Roman" w:hAnsi="Times New Roman" w:cs="Times New Roman"/>
          <w:b/>
          <w:sz w:val="20"/>
          <w:szCs w:val="20"/>
          <w:lang w:eastAsia="ar-SA"/>
        </w:rPr>
      </w:r>
    </w:p>
    <w:p>
      <w:pPr>
        <w:spacing w:after="0" w:line="240" w:lineRule="auto"/>
        <w:tabs>
          <w:tab w:val="left" w:pos="2410" w:leader="none"/>
        </w:tabs>
        <w:rPr>
          <w:rFonts w:ascii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  <w:lang w:eastAsia="ar-SA"/>
        </w:rPr>
        <w:t xml:space="preserve">Гарантийный талон действителен</w:t>
      </w:r>
      <w:r>
        <w:rPr>
          <w:rFonts w:ascii="Times New Roman" w:hAnsi="Times New Roman" w:cs="Times New Roman"/>
          <w:b/>
          <w:sz w:val="20"/>
          <w:szCs w:val="20"/>
          <w:lang w:eastAsia="ar-SA"/>
        </w:rPr>
        <w:t xml:space="preserve"> на период</w:t>
      </w:r>
      <w:r>
        <w:rPr>
          <w:rFonts w:ascii="Times New Roman" w:hAnsi="Times New Roman" w:cs="Times New Roman"/>
          <w:b/>
          <w:sz w:val="20"/>
          <w:szCs w:val="20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eastAsia="ar-SA"/>
        </w:rPr>
        <w:t xml:space="preserve">срока, указанного в таблице пункта 2</w:t>
      </w:r>
      <w:r>
        <w:rPr>
          <w:rFonts w:ascii="Times New Roman" w:hAnsi="Times New Roman" w:cs="Times New Roman"/>
          <w:b/>
          <w:sz w:val="20"/>
          <w:szCs w:val="20"/>
          <w:lang w:eastAsia="ar-SA"/>
        </w:rPr>
        <w:t xml:space="preserve">.</w:t>
      </w:r>
      <w:r>
        <w:rPr>
          <w:rFonts w:ascii="Times New Roman" w:hAnsi="Times New Roman" w:cs="Times New Roman"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eastAsia="ar-SA"/>
        </w:rPr>
        <w:t xml:space="preserve">Гарантийный талон выдан ООО «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ПромЭксперт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»</w:t>
      </w:r>
      <w:r>
        <w:rPr>
          <w:rFonts w:ascii="Times New Roman" w:hAnsi="Times New Roman" w:cs="Times New Roman"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eastAsia="ar-SA"/>
        </w:rPr>
        <w:t xml:space="preserve">Адрес</w:t>
      </w:r>
      <w:r>
        <w:rPr>
          <w:rFonts w:ascii="Times New Roman" w:hAnsi="Times New Roman" w:cs="Times New Roman"/>
          <w:sz w:val="20"/>
          <w:szCs w:val="20"/>
          <w:lang w:eastAsia="ar-SA"/>
        </w:rPr>
        <w:t xml:space="preserve"> поставщика</w:t>
      </w:r>
      <w:r>
        <w:rPr>
          <w:rFonts w:ascii="Times New Roman" w:hAnsi="Times New Roman" w:cs="Times New Roman"/>
          <w:sz w:val="20"/>
          <w:szCs w:val="20"/>
          <w:lang w:eastAsia="ar-SA"/>
        </w:rPr>
        <w:t xml:space="preserve">: 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153005, РФ, 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ул.Сосновая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, д.24, пом.24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 w:cs="Times New Roman"/>
          <w:bCs/>
          <w:sz w:val="20"/>
          <w:szCs w:val="20"/>
          <w:lang w:eastAsia="ar-SA"/>
        </w:rPr>
        <w:t xml:space="preserve">Адрес сервисного центра поставщика: 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153005, РФ, 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ул.Сосновая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, д.24, пом.24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eastAsia="ar-SA"/>
        </w:rPr>
        <w:t xml:space="preserve">Телефон: 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  <w:t xml:space="preserve">(4932) 93 93 13</w:t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val="en-US" w:eastAsia="ar-SA"/>
        </w:rPr>
        <w:t xml:space="preserve">E</w:t>
      </w:r>
      <w:r>
        <w:rPr>
          <w:rFonts w:ascii="Times New Roman" w:hAnsi="Times New Roman" w:cs="Times New Roman"/>
          <w:sz w:val="20"/>
          <w:szCs w:val="20"/>
          <w:lang w:eastAsia="ar-SA"/>
        </w:rPr>
        <w:t xml:space="preserve">-</w:t>
      </w:r>
      <w:r>
        <w:rPr>
          <w:rFonts w:ascii="Times New Roman" w:hAnsi="Times New Roman" w:cs="Times New Roman"/>
          <w:sz w:val="20"/>
          <w:szCs w:val="20"/>
          <w:lang w:val="en-US" w:eastAsia="ar-SA"/>
        </w:rPr>
        <w:t xml:space="preserve">mail</w:t>
      </w:r>
      <w:r>
        <w:rPr>
          <w:rFonts w:ascii="Times New Roman" w:hAnsi="Times New Roman" w:cs="Times New Roman"/>
          <w:sz w:val="20"/>
          <w:szCs w:val="20"/>
          <w:lang w:eastAsia="ar-SA"/>
        </w:rPr>
        <w:t xml:space="preserve">:</w:t>
      </w:r>
      <w:hyperlink r:id="rId11" w:tooltip="mailto:info@promexpert.ru" w:history="1">
        <w:r>
          <w:rPr>
            <w:rStyle w:val="629"/>
            <w:rFonts w:ascii="Times New Roman" w:hAnsi="Times New Roman" w:cs="Times New Roman"/>
            <w:b/>
            <w:bCs/>
            <w:sz w:val="20"/>
            <w:szCs w:val="20"/>
            <w:lang w:val="en-US" w:eastAsia="ar-SA"/>
          </w:rPr>
          <w:t xml:space="preserve">info</w:t>
        </w:r>
        <w:r>
          <w:rPr>
            <w:rStyle w:val="629"/>
            <w:rFonts w:ascii="Times New Roman" w:hAnsi="Times New Roman" w:cs="Times New Roman"/>
            <w:b/>
            <w:bCs/>
            <w:sz w:val="20"/>
            <w:szCs w:val="20"/>
            <w:lang w:eastAsia="ar-SA"/>
          </w:rPr>
          <w:t xml:space="preserve">@</w:t>
        </w:r>
        <w:r>
          <w:rPr>
            <w:rStyle w:val="629"/>
            <w:rFonts w:ascii="Times New Roman" w:hAnsi="Times New Roman" w:cs="Times New Roman"/>
            <w:b/>
            <w:bCs/>
            <w:sz w:val="20"/>
            <w:szCs w:val="20"/>
            <w:lang w:val="en-US" w:eastAsia="ar-SA"/>
          </w:rPr>
          <w:t xml:space="preserve">promexpert</w:t>
        </w:r>
        <w:r>
          <w:rPr>
            <w:rStyle w:val="629"/>
            <w:rFonts w:ascii="Times New Roman" w:hAnsi="Times New Roman" w:cs="Times New Roman"/>
            <w:b/>
            <w:bCs/>
            <w:sz w:val="20"/>
            <w:szCs w:val="20"/>
            <w:lang w:eastAsia="ar-SA"/>
          </w:rPr>
          <w:t xml:space="preserve">.</w:t>
        </w:r>
        <w:r>
          <w:rPr>
            <w:rStyle w:val="629"/>
            <w:rFonts w:ascii="Times New Roman" w:hAnsi="Times New Roman" w:cs="Times New Roman"/>
            <w:b/>
            <w:bCs/>
            <w:sz w:val="20"/>
            <w:szCs w:val="20"/>
            <w:lang w:val="en-US" w:eastAsia="ar-SA"/>
          </w:rPr>
          <w:t xml:space="preserve">ru</w:t>
        </w:r>
      </w:hyperlink>
      <w:r/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</w:r>
      <w:r>
        <w:rPr>
          <w:rFonts w:ascii="Times New Roman" w:hAnsi="Times New Roman" w:cs="Times New Roman"/>
          <w:b/>
          <w:bCs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eastAsia="ar-SA"/>
        </w:rPr>
        <w:t xml:space="preserve">________________________</w:t>
      </w:r>
      <w:r>
        <w:rPr>
          <w:rFonts w:ascii="Times New Roman" w:hAnsi="Times New Roman" w:cs="Times New Roman"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vertAlign w:val="superscript"/>
          <w:lang w:eastAsia="ar-SA"/>
        </w:rPr>
        <w:t xml:space="preserve">Подпись менеджера</w:t>
      </w:r>
      <w:r>
        <w:rPr>
          <w:rFonts w:ascii="Times New Roman" w:hAnsi="Times New Roman" w:cs="Times New Roman"/>
          <w:sz w:val="20"/>
          <w:szCs w:val="20"/>
          <w:lang w:eastAsia="ar-SA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eastAsia="ar-SA"/>
        </w:rPr>
      </w:r>
      <w:r>
        <w:rPr>
          <w:rFonts w:ascii="Times New Roman" w:hAnsi="Times New Roman" w:cs="Times New Roman"/>
          <w:sz w:val="20"/>
          <w:szCs w:val="20"/>
          <w:lang w:eastAsia="ar-SA"/>
        </w:rPr>
      </w:r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0"/>
          <w:szCs w:val="20"/>
          <w:lang w:eastAsia="ar-SA"/>
        </w:rPr>
        <w:t xml:space="preserve">М. П. </w:t>
      </w:r>
      <w:r/>
    </w:p>
    <w:sectPr>
      <w:footnotePr/>
      <w:endnotePr/>
      <w:type w:val="nextPage"/>
      <w:pgSz w:w="11906" w:h="16838" w:orient="portrait"/>
      <w:pgMar w:top="426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25" w:hanging="465"/>
        <w:tabs>
          <w:tab w:val="num" w:pos="825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1"/>
    <w:next w:val="62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3"/>
    <w:link w:val="1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23"/>
    <w:link w:val="622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1"/>
    <w:next w:val="62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3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1"/>
    <w:next w:val="62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3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1"/>
    <w:next w:val="62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3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1"/>
    <w:next w:val="62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1"/>
    <w:next w:val="62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1"/>
    <w:next w:val="62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3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1"/>
    <w:next w:val="62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3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1"/>
    <w:next w:val="62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3"/>
    <w:link w:val="34"/>
    <w:uiPriority w:val="10"/>
    <w:rPr>
      <w:sz w:val="48"/>
      <w:szCs w:val="48"/>
    </w:rPr>
  </w:style>
  <w:style w:type="paragraph" w:styleId="36">
    <w:name w:val="Subtitle"/>
    <w:basedOn w:val="621"/>
    <w:next w:val="62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3"/>
    <w:link w:val="36"/>
    <w:uiPriority w:val="11"/>
    <w:rPr>
      <w:sz w:val="24"/>
      <w:szCs w:val="24"/>
    </w:rPr>
  </w:style>
  <w:style w:type="paragraph" w:styleId="38">
    <w:name w:val="Quote"/>
    <w:basedOn w:val="621"/>
    <w:next w:val="62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1"/>
    <w:next w:val="62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1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3"/>
    <w:link w:val="42"/>
    <w:uiPriority w:val="99"/>
  </w:style>
  <w:style w:type="paragraph" w:styleId="44">
    <w:name w:val="Footer"/>
    <w:basedOn w:val="621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3"/>
    <w:link w:val="44"/>
    <w:uiPriority w:val="99"/>
  </w:style>
  <w:style w:type="paragraph" w:styleId="46">
    <w:name w:val="Caption"/>
    <w:basedOn w:val="621"/>
    <w:next w:val="62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2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3"/>
    <w:uiPriority w:val="99"/>
    <w:unhideWhenUsed/>
    <w:rPr>
      <w:vertAlign w:val="superscript"/>
    </w:rPr>
  </w:style>
  <w:style w:type="paragraph" w:styleId="178">
    <w:name w:val="endnote text"/>
    <w:basedOn w:val="62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3"/>
    <w:uiPriority w:val="99"/>
    <w:semiHidden/>
    <w:unhideWhenUsed/>
    <w:rPr>
      <w:vertAlign w:val="superscript"/>
    </w:rPr>
  </w:style>
  <w:style w:type="paragraph" w:styleId="181">
    <w:name w:val="toc 1"/>
    <w:basedOn w:val="621"/>
    <w:next w:val="62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1"/>
    <w:next w:val="62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1"/>
    <w:next w:val="62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1"/>
    <w:next w:val="62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1"/>
    <w:next w:val="62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1"/>
    <w:next w:val="62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1"/>
    <w:next w:val="62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1"/>
    <w:next w:val="62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1"/>
    <w:next w:val="62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1"/>
    <w:next w:val="621"/>
    <w:uiPriority w:val="99"/>
    <w:unhideWhenUsed/>
    <w:pPr>
      <w:spacing w:after="0" w:afterAutospacing="0"/>
    </w:pPr>
  </w:style>
  <w:style w:type="paragraph" w:styleId="621" w:default="1">
    <w:name w:val="Normal"/>
    <w:qFormat/>
  </w:style>
  <w:style w:type="paragraph" w:styleId="622">
    <w:name w:val="Heading 2"/>
    <w:basedOn w:val="621"/>
    <w:link w:val="626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2 Знак"/>
    <w:basedOn w:val="623"/>
    <w:link w:val="622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table" w:styleId="627">
    <w:name w:val="Table Grid"/>
    <w:basedOn w:val="624"/>
    <w:uiPriority w:val="59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28">
    <w:name w:val="List Paragraph"/>
    <w:basedOn w:val="621"/>
    <w:uiPriority w:val="34"/>
    <w:qFormat/>
    <w:pPr>
      <w:contextualSpacing/>
      <w:ind w:left="720"/>
      <w:spacing w:after="200" w:line="276" w:lineRule="auto"/>
    </w:pPr>
    <w:rPr>
      <w:rFonts w:eastAsiaTheme="minorEastAsia"/>
      <w:lang w:eastAsia="ru-RU"/>
    </w:rPr>
  </w:style>
  <w:style w:type="character" w:styleId="629">
    <w:name w:val="Hyperlink"/>
    <w:basedOn w:val="623"/>
    <w:uiPriority w:val="99"/>
    <w:semiHidden/>
    <w:unhideWhenUsed/>
    <w:rPr>
      <w:color w:val="0000ff"/>
      <w:u w:val="single"/>
    </w:rPr>
  </w:style>
  <w:style w:type="paragraph" w:styleId="630" w:customStyle="1">
    <w:name w:val="NoNumberNonformat"/>
    <w:uiPriority w:val="99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631" w:customStyle="1">
    <w:name w:val="Preformatted"/>
    <w:basedOn w:val="621"/>
    <w:pPr>
      <w:spacing w:after="0" w:line="240" w:lineRule="auto"/>
      <w:tabs>
        <w:tab w:val="left" w:pos="0" w:leader="none"/>
        <w:tab w:val="left" w:pos="959" w:leader="none"/>
        <w:tab w:val="left" w:pos="1918" w:leader="none"/>
        <w:tab w:val="left" w:pos="2877" w:leader="none"/>
        <w:tab w:val="left" w:pos="3836" w:leader="none"/>
        <w:tab w:val="left" w:pos="4795" w:leader="none"/>
        <w:tab w:val="left" w:pos="5754" w:leader="none"/>
        <w:tab w:val="left" w:pos="6713" w:leader="none"/>
        <w:tab w:val="left" w:pos="7672" w:leader="none"/>
        <w:tab w:val="left" w:pos="8631" w:leader="none"/>
        <w:tab w:val="left" w:pos="9590" w:leader="none"/>
      </w:tabs>
    </w:pPr>
    <w:rPr>
      <w:rFonts w:ascii="Courier New" w:hAnsi="Courier New" w:eastAsia="Times New Roman" w:cs="Times New Roman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hyperlink" Target="mailto:info@promexpert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Шишкина</dc:creator>
  <cp:keywords/>
  <dc:description/>
  <cp:lastModifiedBy>Анна Романова</cp:lastModifiedBy>
  <cp:revision>4</cp:revision>
  <dcterms:created xsi:type="dcterms:W3CDTF">2024-07-03T17:02:00Z</dcterms:created>
  <dcterms:modified xsi:type="dcterms:W3CDTF">2024-07-04T12:16:31Z</dcterms:modified>
</cp:coreProperties>
</file>